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附件1：《202</w:t>
      </w:r>
      <w:r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年南陵县建设投资有限责任公司招聘劳务派遣人员计划表》</w:t>
      </w:r>
    </w:p>
    <w:tbl>
      <w:tblPr>
        <w:tblStyle w:val="2"/>
        <w:tblpPr w:leftFromText="180" w:rightFromText="180" w:vertAnchor="page" w:horzAnchor="page" w:tblpX="1609" w:tblpY="408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45"/>
        <w:gridCol w:w="1701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bookmarkStart w:id="0" w:name="_Hlk66092361"/>
            <w:r>
              <w:rPr>
                <w:rFonts w:hint="eastAsia"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ind w:right="7"/>
              <w:jc w:val="center"/>
              <w:rPr>
                <w:rFonts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382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ind w:right="227" w:rightChars="108"/>
              <w:jc w:val="center"/>
              <w:rPr>
                <w:rFonts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cs="仿宋_GB2312"/>
                <w:spacing w:val="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  <w:highlight w:val="yellow"/>
                <w:shd w:val="clear" w:color="auto" w:fill="FFFFFF"/>
              </w:rPr>
              <w:t>会计、会计学专业及财务管理专业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8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等线" w:hAnsi="等线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cs="仿宋_GB2312"/>
                <w:spacing w:val="8"/>
                <w:sz w:val="24"/>
                <w:szCs w:val="24"/>
                <w:shd w:val="clear" w:color="auto" w:fill="FFFFFF"/>
              </w:rPr>
              <w:t>全日制大专及以上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等线" w:hAnsi="等线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等线" w:hAnsi="等线" w:cs="仿宋_GB2312"/>
                <w:spacing w:val="8"/>
                <w:sz w:val="24"/>
                <w:szCs w:val="24"/>
                <w:shd w:val="clear" w:color="auto" w:fill="FFFFFF"/>
              </w:rPr>
              <w:t>40周岁以下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等线" w:hAnsi="等线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等线" w:hAnsi="等线" w:cs="仿宋_GB2312"/>
                <w:spacing w:val="8"/>
                <w:sz w:val="24"/>
                <w:szCs w:val="24"/>
                <w:shd w:val="clear" w:color="auto" w:fill="FFFFFF"/>
              </w:rPr>
              <w:t>专业资格证书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D80A6"/>
    <w:multiLevelType w:val="singleLevel"/>
    <w:tmpl w:val="3F3D80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2021-06-03T07:54:21Z</dcterms:created>
  <dc:creator>Administrator</dc:creator>
  <cp:lastModifiedBy>A孔骐</cp:lastModifiedBy>
  <dcterms:modified xsi:type="dcterms:W3CDTF">2021-06-03T07:54:33Z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5BEDB54F8645478B9A523FF93ABCD20C</vt:lpwstr>
  </property>
</Properties>
</file>