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eastAsia="仿宋_GB2312"/>
          <w:b/>
          <w:sz w:val="36"/>
          <w:szCs w:val="36"/>
          <w:lang w:val="en-US" w:eastAsia="zh-CN"/>
        </w:rPr>
      </w:pPr>
      <w:r>
        <w:rPr>
          <w:rFonts w:hint="default" w:eastAsia="仿宋_GB2312"/>
          <w:b/>
          <w:sz w:val="36"/>
          <w:szCs w:val="36"/>
        </w:rPr>
        <w:t>铜陵市人民医院2021年人员招聘计划</w:t>
      </w:r>
      <w:r>
        <w:rPr>
          <w:rFonts w:hint="default" w:eastAsia="仿宋_GB2312"/>
          <w:b/>
          <w:sz w:val="36"/>
          <w:szCs w:val="36"/>
          <w:lang w:eastAsia="zh-CN"/>
        </w:rPr>
        <w:t>（第二批）</w:t>
      </w:r>
    </w:p>
    <w:tbl>
      <w:tblPr>
        <w:tblStyle w:val="2"/>
        <w:tblW w:w="10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384"/>
        <w:gridCol w:w="567"/>
        <w:gridCol w:w="2186"/>
        <w:gridCol w:w="2300"/>
        <w:gridCol w:w="1425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硕士（学术型）及以上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取得医师资格证书,有规培证者优先。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学术型、专业型各1名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内科学、外科学、急诊（危重症）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内科学（血液病）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外科学（骨外科）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外科学（神外）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硕士（专业型）及以上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本科临床医学、儿科学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硕士儿科学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本科学历须有三级医院专科五年以上工作经历，四证合一，中级以上职称可适当放宽条件。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如无规培证须符合国家规培相关规定。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本科临床医学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硕士心血管内科学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本科临床医学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硕士妇产科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</w:t>
            </w: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烧伤整形科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本科临床医学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硕士外科学（烧伤、整形）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本科为临床医学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硕士急诊医学、重症医学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医务处（营养科）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有临床营养师证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备注：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1.第一学历均要求是高中起点的全日制本科，且本科专业是岗位对应专业或临床医学专业，“211”“985”“双一流”院校优秀毕业生优先录取。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2.年龄以身份证出生日期为准，35周岁以下指1986年1月1日以后出生。</w:t>
            </w:r>
          </w:p>
        </w:tc>
      </w:tr>
    </w:tbl>
    <w:p>
      <w:pPr>
        <w:rPr>
          <w:b/>
          <w:bCs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73B8A"/>
    <w:rsid w:val="07B96867"/>
    <w:rsid w:val="081D7921"/>
    <w:rsid w:val="19C73B8A"/>
    <w:rsid w:val="32F92056"/>
    <w:rsid w:val="62337F96"/>
    <w:rsid w:val="78B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和乐镇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2021-03-15T09:37:00Z</dcterms:created>
  <dc:creator>沐林</dc:creator>
  <cp:lastModifiedBy>沐林</cp:lastModifiedBy>
  <dcterms:modified xsi:type="dcterms:W3CDTF">2021-03-15T12:10:29Z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