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1</w:t>
      </w:r>
      <w:r>
        <w:rPr>
          <w:rFonts w:hint="eastAsia" w:ascii="黑体" w:hAnsi="黑体" w:eastAsia="黑体" w:cs="黑体"/>
        </w:rPr>
        <w:t>：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马鞍山市博望区人民医院公开招聘员额池专业技术人员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岗位计划表</w:t>
      </w:r>
      <w:bookmarkEnd w:id="0"/>
    </w:p>
    <w:tbl>
      <w:tblPr>
        <w:tblStyle w:val="4"/>
        <w:tblW w:w="136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394"/>
        <w:gridCol w:w="997"/>
        <w:gridCol w:w="1495"/>
        <w:gridCol w:w="5255"/>
        <w:gridCol w:w="31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6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条件</w:t>
            </w:r>
          </w:p>
        </w:tc>
        <w:tc>
          <w:tcPr>
            <w:tcW w:w="3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麻醉科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麻醉学专业（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100202TK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麻醉学（二级学科，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100217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药剂科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620301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100701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研究生：药剂学（二级学科，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100702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专项招聘“应届毕业生”。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医务科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专科：公共卫生管理专业（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620602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620301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本科：公共事业管理专业（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120401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100701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研究生：公共管理（一级学科，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1204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内科学（二级学科，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药剂学（二级学科，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100702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内科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研究生：内科学（二级学科，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周岁。聘用两年内需取得执业资格，否则予以解聘。该岗位分别为普内科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名，肾内科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名，心血管科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名，消化内科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名，按分数高低优先选择岗位。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外科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研究生：外科学（二级学科，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100210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周岁。聘用两年内需取得执业资格，否则予以解聘。该岗位为普外科及泌尿外科各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名，按分数高低优先选择岗位。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影像科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医学影像学专业（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100203TK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880" w:firstLineChars="4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研究生：放射医学（二级学科，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100106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firstLine="880" w:firstLineChars="400"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影像医学与核医学（二级学科，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100207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周岁。聘用两年内需取得执业资格，否则予以解聘。该岗位为放射科及超声科各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名，按分数高低优先选择岗位。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研究生：急诊医学（二级学科，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100218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感染科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中西医临床医学专业（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100601K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研究生：内科学（二级学科，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中西医结合临床（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2"/>
                <w:szCs w:val="22"/>
              </w:rPr>
              <w:t>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100602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感染科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中西医临床医学专业（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100601K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研究生：内科学（二级学科，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中西医结合临床（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2"/>
                <w:szCs w:val="22"/>
              </w:rPr>
              <w:t>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100602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专项招聘“应届毕业生”。聘用两年内需取得执业资格，否则予以解聘。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骨科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620103K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中医骨伤专业（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620104K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100501K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研究生：外科学（二级学科，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100210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中医外科学（二级学科，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100507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中医骨伤科学（二级学科，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100508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耳鼻喉科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研究生：耳鼻咽喉科学（二级学科，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100213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）眼视光医学专业（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100204TK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研究生：眼科学（二级学科，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100212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专科：医学检验技术专业（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620401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本科：医学检验技术专业（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101001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研究生：临床检验诊断学（二级学科，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100208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周岁。聘用两年内需取得执业资格，否则予以解聘。具有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年及以上二级及以上医院工作经历。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儿科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研究生：儿科学（二级学科，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健康管理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620301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620302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100701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中药学专业（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100801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研究生：内科学（二级学科，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药剂学（二级学科，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100702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中药学（一级学科，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1008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重症医学科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620101K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本科：临床医学专业（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100201K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研究生：内科学（二级学科，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外科学（二级学科，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100210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周岁以下，中级及以上职称者年龄可放宽至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周岁。聘用两年内需取得执业资格，否则予以解聘。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人事科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大专：人力资源管理专业（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690202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本科：人力资源管理专业（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120206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研究生：人力资源管理（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2"/>
                <w:szCs w:val="22"/>
              </w:rPr>
              <w:t>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120202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周岁以下。具有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年及以上工作经历。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大专：护理专业（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本科：护理学专业（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101101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研究生：护理学（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2"/>
                <w:szCs w:val="22"/>
              </w:rPr>
              <w:t>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100209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专项招聘“应届毕业生”。具有护士执业资格（含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年通过护士执业资格考试者）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大专：护理专业（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620201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本科：护理学专业（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101101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研究生：护理学（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2"/>
                <w:szCs w:val="22"/>
              </w:rPr>
              <w:t>二级学科，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100209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需具有护士执业资格，年龄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周岁以下；中级及以上职称者年龄可放宽至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周岁；具有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年及以上二级及以上医院工作经历。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财务科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全日制大专或本科及以上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大专：会计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630302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本科：会计学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120203K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研究生：会计学（二级学科，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120201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周岁以下。具有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年及以上工作经历。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综合办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本科：秘书学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050107T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人文教育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040103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英语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050201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公共事业管理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120401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研究生：汉语言文字学（二级学科，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050103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880" w:firstLineChars="4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英语语言文学（二级学科，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050201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left="1100" w:hanging="1100" w:hangingChars="5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社会医学与卫生事业管理（二级学科，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120402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left="1100" w:hanging="1100" w:hangingChars="5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周岁以下。具有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年及以上工作经历。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总务科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本科：土木工程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081001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电子信息工程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080701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自动化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080801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left="1100" w:hanging="1100" w:hangingChars="5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研究生：土木工程（一级学科，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0814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left="1100" w:hanging="1100" w:hangingChars="5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通信与信息系统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2"/>
                <w:szCs w:val="22"/>
              </w:rPr>
              <w:t>（二级学科，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081001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ind w:left="1100" w:hanging="1100" w:hangingChars="500"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电力系统及其自动化（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2"/>
                <w:szCs w:val="22"/>
              </w:rPr>
              <w:t>二级学科，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t>080802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周岁以下。具有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年及以上工作经历。</w:t>
            </w:r>
          </w:p>
        </w:tc>
      </w:tr>
    </w:tbl>
    <w:p>
      <w:pPr>
        <w:spacing w:line="560" w:lineRule="exact"/>
        <w:rPr>
          <w:rFonts w:eastAsia="仿宋_GB2312"/>
        </w:rPr>
        <w:sectPr>
          <w:pgSz w:w="16838" w:h="11906" w:orient="landscape"/>
          <w:pgMar w:top="1587" w:right="1588" w:bottom="1587" w:left="1588" w:header="851" w:footer="992" w:gutter="0"/>
          <w:cols w:space="0" w:num="1"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E7A42"/>
    <w:rsid w:val="54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2020-12-17T04:35:00Z</dcterms:created>
  <dc:creator>崔爱民</dc:creator>
  <cp:lastModifiedBy>崔爱民</cp:lastModifiedBy>
  <dcterms:modified xsi:type="dcterms:W3CDTF">2020-12-17T04:36:59Z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